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6A" w:rsidRPr="00E7796A" w:rsidRDefault="00E7796A" w:rsidP="00E7796A">
      <w:pPr>
        <w:rPr>
          <w:b/>
          <w:sz w:val="28"/>
        </w:rPr>
      </w:pPr>
      <w:r w:rsidRPr="00E7796A">
        <w:rPr>
          <w:b/>
          <w:sz w:val="28"/>
        </w:rPr>
        <w:t>TIF 101</w:t>
      </w:r>
    </w:p>
    <w:p w:rsidR="00E7796A" w:rsidRDefault="00E7796A" w:rsidP="00E7796A"/>
    <w:p w:rsidR="00E7796A" w:rsidRDefault="00E7796A" w:rsidP="00E7796A">
      <w:r>
        <w:t xml:space="preserve">Tax Increment Finance </w:t>
      </w:r>
      <w:r w:rsidR="00D767E8">
        <w:t xml:space="preserve">(TIF) </w:t>
      </w:r>
      <w:r>
        <w:t>is an economic development tool funded by property tax revenue.  The broad goal of this type of economic development strategy is t</w:t>
      </w:r>
      <w:r w:rsidR="00D767E8">
        <w:t xml:space="preserve">o raise the assessed value </w:t>
      </w:r>
      <w:r>
        <w:t>of real property, thereby generating additional property tax revenue that can be used to support specific community economic development goals.  TIF is enabled and regulated by the state legislature, though local municipalities may impose further polic</w:t>
      </w:r>
      <w:r w:rsidR="00D767E8">
        <w:t>y restrictions as long as they’</w:t>
      </w:r>
      <w:r>
        <w:t xml:space="preserve">re within the bounds of the state enabling statute.  For example, statute allows TIF to be used to support multifamily development, although in Indianapolis </w:t>
      </w:r>
      <w:r w:rsidR="00D767E8">
        <w:t xml:space="preserve">it has been </w:t>
      </w:r>
      <w:r w:rsidR="00794C8A">
        <w:t xml:space="preserve">City policy that </w:t>
      </w:r>
      <w:r>
        <w:t xml:space="preserve">TIF </w:t>
      </w:r>
      <w:r w:rsidR="00794C8A">
        <w:t xml:space="preserve">may only be </w:t>
      </w:r>
      <w:r>
        <w:t xml:space="preserve">used to support </w:t>
      </w:r>
      <w:r w:rsidR="00794C8A" w:rsidRPr="00794C8A">
        <w:rPr>
          <w:i/>
        </w:rPr>
        <w:t>mixed-use</w:t>
      </w:r>
      <w:r w:rsidR="00794C8A">
        <w:t xml:space="preserve"> multifamily </w:t>
      </w:r>
      <w:r>
        <w:t>development (multifamily development that also includes retail/c</w:t>
      </w:r>
      <w:r w:rsidR="00794C8A">
        <w:t>ommercial space</w:t>
      </w:r>
      <w:r>
        <w:t>.</w:t>
      </w:r>
      <w:r w:rsidR="00794C8A">
        <w:t>)</w:t>
      </w:r>
      <w:r>
        <w:t xml:space="preserve">  This is analogous to the way the federal government enables and regulates CDBG funding; municipalities that receive federal CDBG allocations often create policies that more specifically define how CDBG should be used in their communities.</w:t>
      </w:r>
    </w:p>
    <w:p w:rsidR="00E7796A" w:rsidRDefault="00E7796A" w:rsidP="00E7796A"/>
    <w:p w:rsidR="00E7796A" w:rsidRDefault="00E7796A" w:rsidP="00E7796A">
      <w:r>
        <w:t xml:space="preserve">Property tax revenue is based on assessed value (AV) as determined by the County Assessor.  Property tax revenue is collected by the County Treasurer, and a portion is remitted to the state via </w:t>
      </w:r>
      <w:r w:rsidR="00794C8A">
        <w:t xml:space="preserve">policies and </w:t>
      </w:r>
      <w:r>
        <w:t xml:space="preserve">procedures defined by the </w:t>
      </w:r>
      <w:r w:rsidR="00794C8A">
        <w:t xml:space="preserve">state </w:t>
      </w:r>
      <w:r>
        <w:t>Department of Local Government Finance (DLGF.)  Local property tax reve</w:t>
      </w:r>
      <w:r w:rsidR="00580A6A">
        <w:t>nue is also disbursed to local “taxing units”</w:t>
      </w:r>
      <w:r>
        <w:t xml:space="preserve"> such as IPS (schools) and IMCPL (The Library.)  </w:t>
      </w:r>
      <w:r w:rsidR="00D767E8">
        <w:t>L</w:t>
      </w:r>
      <w:r>
        <w:t xml:space="preserve">ocal property taxes support the local municipality directly, they support the state, and they </w:t>
      </w:r>
      <w:r w:rsidR="00794C8A">
        <w:t xml:space="preserve">also </w:t>
      </w:r>
      <w:r>
        <w:t xml:space="preserve">support </w:t>
      </w:r>
      <w:r w:rsidR="00794C8A">
        <w:t xml:space="preserve">special </w:t>
      </w:r>
      <w:r>
        <w:t>local taxing units.</w:t>
      </w:r>
    </w:p>
    <w:p w:rsidR="00E7796A" w:rsidRDefault="00E7796A" w:rsidP="00E7796A"/>
    <w:p w:rsidR="00E7796A" w:rsidRDefault="00E7796A" w:rsidP="00E7796A">
      <w:r>
        <w:t xml:space="preserve">Municipalities create TIF districts within larger Economic Development Areas (EDAs.)  Since the state forfeits some property tax </w:t>
      </w:r>
      <w:r w:rsidR="00FF72B3">
        <w:t>revenue for the 25-year lifetime</w:t>
      </w:r>
      <w:r>
        <w:t xml:space="preserve"> of each TIF district, state TIF statute requires that municipalities wishing to utilize TIF justify their needs.  In order to create an EDA and associated TIF district, municipalities must demonstrate sp</w:t>
      </w:r>
      <w:r w:rsidR="00794C8A">
        <w:t xml:space="preserve">ecific characteristics (blight such as </w:t>
      </w:r>
      <w:r>
        <w:t xml:space="preserve">vacancy, abandonment,  </w:t>
      </w:r>
      <w:r w:rsidR="0097004B">
        <w:t>contamination</w:t>
      </w:r>
      <w:r>
        <w:t xml:space="preserve">, </w:t>
      </w:r>
      <w:r w:rsidR="0097004B">
        <w:t xml:space="preserve">aged </w:t>
      </w:r>
      <w:r>
        <w:t xml:space="preserve">infrastructure, </w:t>
      </w:r>
      <w:r w:rsidR="0097004B">
        <w:t>obsolete property uses</w:t>
      </w:r>
      <w:r>
        <w:t xml:space="preserve">, etc.) within the EDA, and specifically define which parcels will be included within </w:t>
      </w:r>
      <w:r w:rsidR="00794C8A">
        <w:t xml:space="preserve">the </w:t>
      </w:r>
      <w:r>
        <w:t>TIF district</w:t>
      </w:r>
      <w:r w:rsidR="00794C8A">
        <w:t xml:space="preserve"> enclosed by the EDA</w:t>
      </w:r>
      <w:r>
        <w:t xml:space="preserve">.  Once established, a portion of the property tax revenue from every </w:t>
      </w:r>
      <w:r w:rsidR="00FF72B3">
        <w:t xml:space="preserve">commercial </w:t>
      </w:r>
      <w:r>
        <w:t xml:space="preserve">parcel within the TIF district is diverted back to the municipality </w:t>
      </w:r>
      <w:r w:rsidR="00D767E8">
        <w:t>to</w:t>
      </w:r>
      <w:r>
        <w:t xml:space="preserve"> </w:t>
      </w:r>
      <w:r w:rsidR="00FF72B3">
        <w:t xml:space="preserve">address identified needs within or directly adjacent to </w:t>
      </w:r>
      <w:r>
        <w:t xml:space="preserve">the </w:t>
      </w:r>
      <w:r w:rsidR="00FF72B3">
        <w:t>TIF district</w:t>
      </w:r>
      <w:r>
        <w:t>.</w:t>
      </w:r>
    </w:p>
    <w:p w:rsidR="00E7796A" w:rsidRDefault="00E7796A" w:rsidP="00E7796A"/>
    <w:p w:rsidR="00E7796A" w:rsidRDefault="00E7796A" w:rsidP="00E7796A">
      <w:r>
        <w:t xml:space="preserve">The AV of every parcel within the TIF district, on the date the district is established, is the </w:t>
      </w:r>
      <w:r w:rsidRPr="00E7796A">
        <w:rPr>
          <w:u w:val="single"/>
        </w:rPr>
        <w:t>baseline</w:t>
      </w:r>
      <w:r>
        <w:t xml:space="preserve"> AV.  For the </w:t>
      </w:r>
      <w:r w:rsidR="00FF72B3">
        <w:t>lifetime</w:t>
      </w:r>
      <w:r>
        <w:t xml:space="preserve"> of the TIF, the baseline AV is fixed and only the property tax revenue generated from that AV is remitted to the state/municipality/local units.  The </w:t>
      </w:r>
      <w:r w:rsidRPr="00E7796A">
        <w:rPr>
          <w:u w:val="single"/>
        </w:rPr>
        <w:t>increment</w:t>
      </w:r>
      <w:r>
        <w:t xml:space="preserve"> is the additional property tax revenue generated (i.e. above and beyond the baseline) as AV within the TIF district rises.  The increment is not shared with the state/municipality/local units</w:t>
      </w:r>
      <w:r w:rsidR="00794C8A">
        <w:t>,</w:t>
      </w:r>
      <w:r>
        <w:t xml:space="preserve"> but rather is used to support specific economic development goals within the EDA.  In other words, as AV and associated property tax revenue rises over the life of the TIF, the state/municipality/local units are still guaranteed the baseline revenue, although the </w:t>
      </w:r>
      <w:r w:rsidRPr="00D767E8">
        <w:rPr>
          <w:i/>
        </w:rPr>
        <w:t>incremental</w:t>
      </w:r>
      <w:r>
        <w:t xml:space="preserve"> revenue is only available to be reinvested back into the TIF district.</w:t>
      </w:r>
    </w:p>
    <w:p w:rsidR="00E7796A" w:rsidRDefault="00E7796A" w:rsidP="00E7796A"/>
    <w:p w:rsidR="00E7796A" w:rsidRDefault="00E7796A" w:rsidP="00E7796A">
      <w:r>
        <w:t>Increment (g</w:t>
      </w:r>
      <w:r w:rsidR="00580A6A">
        <w:t>ener</w:t>
      </w:r>
      <w:r w:rsidR="00794C8A">
        <w:t>ically also referred to as “TIF”</w:t>
      </w:r>
      <w:r>
        <w:t>) may be spen</w:t>
      </w:r>
      <w:r w:rsidR="00BD6FCC">
        <w:t>t by the municipality like cash-in-</w:t>
      </w:r>
      <w:r>
        <w:t xml:space="preserve">hand, but the majority of TIF </w:t>
      </w:r>
      <w:r w:rsidR="00794C8A">
        <w:t xml:space="preserve">revenue </w:t>
      </w:r>
      <w:r>
        <w:t>is generally used to secure municipal bonds.  In other words, the increment (the promise of future, dedicated, property tax revenue over the life</w:t>
      </w:r>
      <w:r w:rsidR="00FF72B3">
        <w:t>time</w:t>
      </w:r>
      <w:r>
        <w:t xml:space="preserve"> of the TIF) is the collateral that allows the City (the Bond Bank in Indianapolis) to sell bonds on the open market.  Municipal bond</w:t>
      </w:r>
      <w:r w:rsidRPr="00D767E8">
        <w:t xml:space="preserve"> buyers</w:t>
      </w:r>
      <w:r>
        <w:t xml:space="preserve"> essentially lend a lump sum to the City, which the City pays back over time (principle plus interest) with the </w:t>
      </w:r>
      <w:r w:rsidR="00D767E8">
        <w:t xml:space="preserve">annual </w:t>
      </w:r>
      <w:r>
        <w:t>increment.  As successful economic development projects create additional AV within the TIF district, the City can sell more bonds.  Wash, rinse, repeat.</w:t>
      </w:r>
    </w:p>
    <w:p w:rsidR="00E7796A" w:rsidRDefault="00E7796A" w:rsidP="00E7796A"/>
    <w:p w:rsidR="00E7796A" w:rsidRDefault="00E7796A" w:rsidP="00E7796A">
      <w:r>
        <w:lastRenderedPageBreak/>
        <w:t xml:space="preserve">In Indianapolis, the Deputy Mayor for Economic Development, the </w:t>
      </w:r>
      <w:r w:rsidR="00BD6FCC">
        <w:t xml:space="preserve">Indianapolis Public Improvement </w:t>
      </w:r>
      <w:r>
        <w:t>Bond Bank, the Metropolitan Development Commission (MDC)</w:t>
      </w:r>
      <w:r w:rsidR="00BD6FCC">
        <w:t>,</w:t>
      </w:r>
      <w:r>
        <w:t xml:space="preserve"> and </w:t>
      </w:r>
      <w:r w:rsidR="00D767E8">
        <w:t xml:space="preserve">the </w:t>
      </w:r>
      <w:r>
        <w:t xml:space="preserve">City-County Council (CCC) </w:t>
      </w:r>
      <w:r w:rsidR="00E762E8">
        <w:t xml:space="preserve">et al </w:t>
      </w:r>
      <w:r>
        <w:t xml:space="preserve">ultimately work together to authorize the sale of TIF-backed municipal bonds via local ordinance.  Though the City may authorize the sale of bonds, there is some period of time </w:t>
      </w:r>
      <w:r w:rsidR="00BD6FCC">
        <w:t xml:space="preserve">(months to years) </w:t>
      </w:r>
      <w:r>
        <w:t>between authorization</w:t>
      </w:r>
      <w:r w:rsidR="00794C8A">
        <w:t>, the sale of the bonds,</w:t>
      </w:r>
      <w:r>
        <w:t xml:space="preserve"> and the realization of the actual TIF revenue</w:t>
      </w:r>
      <w:r w:rsidR="00794C8A">
        <w:t xml:space="preserve"> to pay off those bonds</w:t>
      </w:r>
      <w:r>
        <w:t>.  Thus, the City often seeks short-t</w:t>
      </w:r>
      <w:r w:rsidR="00D767E8">
        <w:t>erm interim financing (i.e. cash-in-hand</w:t>
      </w:r>
      <w:r>
        <w:t xml:space="preserve">) </w:t>
      </w:r>
      <w:r w:rsidR="00794C8A">
        <w:t xml:space="preserve">which is </w:t>
      </w:r>
      <w:r w:rsidR="00BD6FCC">
        <w:t>collateralized by</w:t>
      </w:r>
      <w:r>
        <w:t xml:space="preserve"> the ordinance authorizing</w:t>
      </w:r>
      <w:r w:rsidR="00580A6A">
        <w:t xml:space="preserve"> the sale of the bonds.  These so-called “bond anticipation notes”</w:t>
      </w:r>
      <w:r>
        <w:t xml:space="preserve"> are paid off once the City receives the proceeds </w:t>
      </w:r>
      <w:r w:rsidR="00D767E8">
        <w:t>from</w:t>
      </w:r>
      <w:r>
        <w:t xml:space="preserve"> </w:t>
      </w:r>
      <w:r w:rsidR="00D767E8">
        <w:t>bond</w:t>
      </w:r>
      <w:r w:rsidR="00E762E8">
        <w:t xml:space="preserve"> </w:t>
      </w:r>
      <w:r w:rsidR="00D767E8">
        <w:t>s</w:t>
      </w:r>
      <w:r w:rsidR="00E762E8">
        <w:t>ales</w:t>
      </w:r>
      <w:r>
        <w:t xml:space="preserve">.  In </w:t>
      </w:r>
      <w:r w:rsidR="00794C8A">
        <w:t>simple terms</w:t>
      </w:r>
      <w:r>
        <w:t xml:space="preserve">, once the City </w:t>
      </w:r>
      <w:r w:rsidR="00BD6FCC">
        <w:t xml:space="preserve">commits to </w:t>
      </w:r>
      <w:r w:rsidR="00FE5B68">
        <w:t>sell municipal bonds</w:t>
      </w:r>
      <w:r w:rsidR="00794C8A">
        <w:t xml:space="preserve">, </w:t>
      </w:r>
      <w:r>
        <w:t xml:space="preserve">it can </w:t>
      </w:r>
      <w:r w:rsidR="00FE5B68">
        <w:t xml:space="preserve">subsequently </w:t>
      </w:r>
      <w:r>
        <w:t xml:space="preserve">get a loan based on </w:t>
      </w:r>
      <w:r w:rsidR="00FE5B68">
        <w:t xml:space="preserve">the </w:t>
      </w:r>
      <w:r>
        <w:t>anticipated future bond proceeds.</w:t>
      </w:r>
    </w:p>
    <w:p w:rsidR="00E7796A" w:rsidRDefault="00E7796A" w:rsidP="00E7796A"/>
    <w:p w:rsidR="00E7796A" w:rsidRDefault="00E7796A" w:rsidP="00E7796A">
      <w:r>
        <w:t>To summarize, the City creates</w:t>
      </w:r>
      <w:r w:rsidR="00580A6A">
        <w:t xml:space="preserve"> a TIF district (i.e. the City “TIFs”</w:t>
      </w:r>
      <w:r>
        <w:t xml:space="preserve"> a specific geography) to capture incremental property tax r</w:t>
      </w:r>
      <w:r w:rsidR="00FE5B68">
        <w:t>evenue (also referred to as TIF</w:t>
      </w:r>
      <w:r>
        <w:t xml:space="preserve">) generated by rising </w:t>
      </w:r>
      <w:r w:rsidR="00FF72B3">
        <w:t xml:space="preserve">commercial </w:t>
      </w:r>
      <w:r>
        <w:t>property values for a specific period of time (25 years, the life</w:t>
      </w:r>
      <w:r w:rsidR="00FF72B3">
        <w:t>time</w:t>
      </w:r>
      <w:r>
        <w:t xml:space="preserve"> of the TIF.)  The City leverages this revenue stream to secure cash-in-hand, which </w:t>
      </w:r>
      <w:r w:rsidR="00D767E8">
        <w:t xml:space="preserve">is then </w:t>
      </w:r>
      <w:r>
        <w:t>invest</w:t>
      </w:r>
      <w:r w:rsidR="00D767E8">
        <w:t>ed</w:t>
      </w:r>
      <w:r>
        <w:t xml:space="preserve"> in economic development projects within the TIF that are designed to raise AV.  Imagine a recent college graduate getting an offer letter from an employer guaranteeing her a specific salary, then taking that letter to a payday lender and convincing them to give her a cash advance equal to </w:t>
      </w:r>
      <w:r w:rsidR="00017AF1">
        <w:t>25 years of her annual salary</w:t>
      </w:r>
      <w:r>
        <w:t>.  That scenario is unlikely, but cities are stable entities undergirded by the authority of law, thus they are able to arrange complex municipal financing schemes such as this.  TIF, like any other public subsidy, is attractive to the private market and drives beneficial investment.</w:t>
      </w:r>
    </w:p>
    <w:p w:rsidR="00E7796A" w:rsidRDefault="00E7796A" w:rsidP="00E7796A"/>
    <w:p w:rsidR="00E7796A" w:rsidRPr="00E7796A" w:rsidRDefault="00E7796A" w:rsidP="00E7796A">
      <w:pPr>
        <w:rPr>
          <w:b/>
          <w:sz w:val="28"/>
        </w:rPr>
      </w:pPr>
      <w:r w:rsidRPr="00E7796A">
        <w:rPr>
          <w:b/>
          <w:sz w:val="28"/>
        </w:rPr>
        <w:t>Why is the North Midtown TIF special?</w:t>
      </w:r>
    </w:p>
    <w:p w:rsidR="00E7796A" w:rsidRDefault="00E7796A" w:rsidP="00E7796A"/>
    <w:p w:rsidR="00E7796A" w:rsidRDefault="00E7796A" w:rsidP="00E7796A">
      <w:r>
        <w:t>Since TIF is public subsidy, it holds that the public should weigh in on all TIF investment.  When the North Midtown EDA and associated TIF were created (</w:t>
      </w:r>
      <w:hyperlink r:id="rId8" w:history="1">
        <w:r w:rsidR="00BD6FCC" w:rsidRPr="00AA3C0F">
          <w:rPr>
            <w:rStyle w:val="Hyperlink"/>
          </w:rPr>
          <w:t>http://www.midtownindy.org/TIF-district</w:t>
        </w:r>
      </w:hyperlink>
      <w:r>
        <w:t>) th</w:t>
      </w:r>
      <w:r w:rsidR="00FE5B68">
        <w:t>e Midtown Economic Council (MEC</w:t>
      </w:r>
      <w:r>
        <w:t>) was also officially recognized as the community body that would hold in trust the broad interests of residents and stakeholders with</w:t>
      </w:r>
      <w:r w:rsidR="00FE5B68">
        <w:t xml:space="preserve">in the </w:t>
      </w:r>
      <w:r w:rsidR="00D767E8">
        <w:t>EDA</w:t>
      </w:r>
      <w:r w:rsidR="00FE5B68">
        <w:t xml:space="preserve">, ultimately </w:t>
      </w:r>
      <w:r>
        <w:t xml:space="preserve">advising the City on which economic development projects should receive TIF subsidy.  The MEC charter </w:t>
      </w:r>
      <w:r w:rsidR="00D767E8">
        <w:t xml:space="preserve">document </w:t>
      </w:r>
      <w:r>
        <w:t>outlines the criteria by which the MEC evaluates potential TIF investment</w:t>
      </w:r>
      <w:r w:rsidR="00FE5B68">
        <w:t xml:space="preserve"> (</w:t>
      </w:r>
      <w:hyperlink r:id="rId9" w:history="1">
        <w:r w:rsidR="00FE5B68" w:rsidRPr="00356EC1">
          <w:rPr>
            <w:rStyle w:val="Hyperlink"/>
          </w:rPr>
          <w:t>http://www.midtownindy.org/MidtownEconomicCouncil.php</w:t>
        </w:r>
      </w:hyperlink>
      <w:r w:rsidR="00FE5B68">
        <w:t>.)  I</w:t>
      </w:r>
      <w:r>
        <w:t xml:space="preserve">n addition to serving the public interest, this additional level of scrutiny may help the City to feel </w:t>
      </w:r>
      <w:r w:rsidR="00FE5B68">
        <w:t xml:space="preserve">more </w:t>
      </w:r>
      <w:r>
        <w:t>comfortable that their economic development investments will ultimately be successful</w:t>
      </w:r>
      <w:r w:rsidR="00BD6FCC">
        <w:t xml:space="preserve">, </w:t>
      </w:r>
      <w:r>
        <w:t>whic</w:t>
      </w:r>
      <w:r w:rsidR="00580A6A">
        <w:t>h in turn may help the City to “sell”</w:t>
      </w:r>
      <w:r>
        <w:t xml:space="preserve"> the pr</w:t>
      </w:r>
      <w:r w:rsidR="00BD6FCC">
        <w:t>oject to financial und</w:t>
      </w:r>
      <w:r w:rsidR="00FE5B68">
        <w:t xml:space="preserve">erwriters (above and beyond </w:t>
      </w:r>
      <w:r w:rsidR="00BD6FCC">
        <w:t xml:space="preserve">bond underwriters’ satisfaction with the City's calculations regarding projected property tax revenue, </w:t>
      </w:r>
      <w:r w:rsidR="007C1892">
        <w:t xml:space="preserve">debt coverage ratio, </w:t>
      </w:r>
      <w:r w:rsidR="00BD6FCC">
        <w:t>cash reserves, overall credit</w:t>
      </w:r>
      <w:r w:rsidR="00E762E8">
        <w:t xml:space="preserve"> worthiness, etc.</w:t>
      </w:r>
      <w:r w:rsidR="00FE5B68">
        <w:t>)</w:t>
      </w:r>
    </w:p>
    <w:p w:rsidR="00E7796A" w:rsidRDefault="00E7796A" w:rsidP="00E7796A"/>
    <w:p w:rsidR="00E7796A" w:rsidRDefault="00E7796A" w:rsidP="00E7796A">
      <w:r>
        <w:t xml:space="preserve">Developers that decide to pursue TIF enter into an iterative and communicative process </w:t>
      </w:r>
      <w:r w:rsidR="00FE5B68">
        <w:t xml:space="preserve">designed </w:t>
      </w:r>
      <w:r>
        <w:t xml:space="preserve">to insure </w:t>
      </w:r>
      <w:r w:rsidR="00FE5B68">
        <w:t xml:space="preserve">that </w:t>
      </w:r>
      <w:r>
        <w:t>their project satisfies community priorities.</w:t>
      </w:r>
    </w:p>
    <w:p w:rsidR="00E7796A" w:rsidRDefault="00E7796A" w:rsidP="00E7796A">
      <w:pPr>
        <w:pStyle w:val="ListParagraph"/>
        <w:numPr>
          <w:ilvl w:val="0"/>
          <w:numId w:val="1"/>
        </w:numPr>
      </w:pPr>
      <w:r>
        <w:t>Developer approaches City (Mayor, Deputy Mayor, Bond Bank, MDC, CCC, et al) to inquire about TIF subsidy for their pro</w:t>
      </w:r>
      <w:r w:rsidR="00580A6A">
        <w:t>ject; developers like to start “at the top.”</w:t>
      </w:r>
      <w:r>
        <w:t xml:space="preserve">  By establishing an EDA/TIF district, the City has already clearly articulated its economic development priorities.</w:t>
      </w:r>
    </w:p>
    <w:p w:rsidR="00E7796A" w:rsidRDefault="00E7796A" w:rsidP="00E7796A">
      <w:pPr>
        <w:pStyle w:val="ListParagraph"/>
        <w:numPr>
          <w:ilvl w:val="0"/>
          <w:numId w:val="1"/>
        </w:numPr>
      </w:pPr>
      <w:r>
        <w:t xml:space="preserve">City refers </w:t>
      </w:r>
      <w:r w:rsidR="00FE5B68">
        <w:t xml:space="preserve">the </w:t>
      </w:r>
      <w:r>
        <w:t xml:space="preserve">developer to the MEC, which </w:t>
      </w:r>
      <w:r w:rsidR="00FE5B68">
        <w:t xml:space="preserve">articulates their priorities relative to the </w:t>
      </w:r>
      <w:r>
        <w:t>public benefit.  Public benefit pr</w:t>
      </w:r>
      <w:r w:rsidR="00580A6A">
        <w:t>iorities include answering the “but for” question (e.g. “</w:t>
      </w:r>
      <w:r w:rsidR="00FE5B68">
        <w:t>this</w:t>
      </w:r>
      <w:r>
        <w:t xml:space="preserve"> development </w:t>
      </w:r>
      <w:r w:rsidR="007C1892">
        <w:t>w</w:t>
      </w:r>
      <w:r>
        <w:t xml:space="preserve">ouldn't happen </w:t>
      </w:r>
      <w:r w:rsidR="00580A6A" w:rsidRPr="00FE5B68">
        <w:rPr>
          <w:i/>
        </w:rPr>
        <w:t>but for</w:t>
      </w:r>
      <w:r w:rsidR="00580A6A">
        <w:t xml:space="preserve"> TIF investment because…”</w:t>
      </w:r>
      <w:r>
        <w:t xml:space="preserve">), evaluating long-term project viability/potential TIF impact, TIF increment generated vs. TIF </w:t>
      </w:r>
      <w:r w:rsidR="00017AF1">
        <w:t>subsidy</w:t>
      </w:r>
      <w:r>
        <w:t xml:space="preserve"> requested, local hiring/job </w:t>
      </w:r>
      <w:r>
        <w:lastRenderedPageBreak/>
        <w:t>creation, environmental issues, improving transportation/connectivity, improving infrastructure, stabilizing/creating markets, preserving/improving public spaces, etc.</w:t>
      </w:r>
    </w:p>
    <w:p w:rsidR="00E7796A" w:rsidRDefault="00E7796A" w:rsidP="00E7796A">
      <w:pPr>
        <w:pStyle w:val="ListParagraph"/>
        <w:numPr>
          <w:ilvl w:val="0"/>
          <w:numId w:val="1"/>
        </w:numPr>
      </w:pPr>
      <w:r>
        <w:t xml:space="preserve">MEC refers </w:t>
      </w:r>
      <w:r w:rsidR="00FE5B68">
        <w:t xml:space="preserve">the </w:t>
      </w:r>
      <w:r>
        <w:t>developer</w:t>
      </w:r>
      <w:r w:rsidR="00FE5B68">
        <w:t xml:space="preserve"> to the N</w:t>
      </w:r>
      <w:r>
        <w:t xml:space="preserve">eighborhood Land Use Committee (or other </w:t>
      </w:r>
      <w:r w:rsidR="00FE5B68">
        <w:t xml:space="preserve">neighborhood group </w:t>
      </w:r>
      <w:r w:rsidR="00017AF1">
        <w:t xml:space="preserve">that evaluates </w:t>
      </w:r>
      <w:r>
        <w:t>development</w:t>
      </w:r>
      <w:r w:rsidR="00017AF1">
        <w:t xml:space="preserve"> proposals</w:t>
      </w:r>
      <w:r>
        <w:t xml:space="preserve">), which articulates specific local priorities.  </w:t>
      </w:r>
      <w:r w:rsidR="00BD6FCC">
        <w:t xml:space="preserve">Neighborhood groups </w:t>
      </w:r>
      <w:r>
        <w:t xml:space="preserve">generally seek to satisfy community-driven Quality of Life </w:t>
      </w:r>
      <w:r w:rsidR="007C1892">
        <w:t>goal</w:t>
      </w:r>
      <w:r w:rsidR="00BD6FCC">
        <w:t xml:space="preserve">s </w:t>
      </w:r>
      <w:r>
        <w:t xml:space="preserve">and resolve </w:t>
      </w:r>
      <w:r w:rsidR="00BD6FCC">
        <w:t>issues</w:t>
      </w:r>
      <w:r>
        <w:t xml:space="preserve"> around specific concerns such as setbacks, noise, density, housing type/mix, architectural massing/style/finish, traffic, etc.</w:t>
      </w:r>
    </w:p>
    <w:p w:rsidR="00E7796A" w:rsidRDefault="00BD6FCC" w:rsidP="00E7796A">
      <w:pPr>
        <w:pStyle w:val="ListParagraph"/>
        <w:numPr>
          <w:ilvl w:val="0"/>
          <w:numId w:val="1"/>
        </w:numPr>
      </w:pPr>
      <w:r>
        <w:t xml:space="preserve">Neighborhood </w:t>
      </w:r>
      <w:r w:rsidR="00E7796A">
        <w:t xml:space="preserve">Land Use Committee works with developer; evaluates and </w:t>
      </w:r>
      <w:r w:rsidR="00E762E8">
        <w:t>makes recommendation</w:t>
      </w:r>
      <w:r w:rsidR="00E7796A">
        <w:t xml:space="preserve"> </w:t>
      </w:r>
      <w:r w:rsidR="00E762E8">
        <w:t xml:space="preserve">on the </w:t>
      </w:r>
      <w:r w:rsidR="00E7796A">
        <w:t>project.</w:t>
      </w:r>
    </w:p>
    <w:p w:rsidR="00E7796A" w:rsidRDefault="00E7796A" w:rsidP="00E7796A">
      <w:pPr>
        <w:pStyle w:val="ListParagraph"/>
        <w:numPr>
          <w:ilvl w:val="0"/>
          <w:numId w:val="1"/>
        </w:numPr>
      </w:pPr>
      <w:r>
        <w:t>MEC works with develope</w:t>
      </w:r>
      <w:r w:rsidR="00E762E8">
        <w:t xml:space="preserve">r; evaluates and makes recommendation on the </w:t>
      </w:r>
      <w:r>
        <w:t>project.</w:t>
      </w:r>
    </w:p>
    <w:p w:rsidR="00E7796A" w:rsidRDefault="00E7796A" w:rsidP="00E7796A">
      <w:pPr>
        <w:pStyle w:val="ListParagraph"/>
        <w:numPr>
          <w:ilvl w:val="0"/>
          <w:numId w:val="1"/>
        </w:numPr>
      </w:pPr>
      <w:r>
        <w:t>City conducts additional due diligence related to the current financial health of the TIF, receives neighborhood and MEC recommendations, and ultimately decides whether or not to award TIF.</w:t>
      </w:r>
    </w:p>
    <w:p w:rsidR="00E7796A" w:rsidRDefault="00E7796A" w:rsidP="00E7796A"/>
    <w:p w:rsidR="00E7796A" w:rsidRDefault="00E7796A" w:rsidP="00E7796A">
      <w:r>
        <w:t>A major premise of the North Midtown EDA is that some portion of the increment ge</w:t>
      </w:r>
      <w:r w:rsidR="00BD6FCC">
        <w:t xml:space="preserve">nerated by investment in strong </w:t>
      </w:r>
      <w:r>
        <w:t>market areas should subsidize projects that have limited capacity to generate additional AV, such as public parks, L</w:t>
      </w:r>
      <w:r w:rsidR="00FF72B3">
        <w:t xml:space="preserve">ow Income Housing Tax Credit projects </w:t>
      </w:r>
      <w:r>
        <w:t>(</w:t>
      </w:r>
      <w:r w:rsidR="00FF72B3">
        <w:t xml:space="preserve">LIHTC </w:t>
      </w:r>
      <w:r>
        <w:t>Section 42 rule limits</w:t>
      </w:r>
      <w:r w:rsidR="007C1892">
        <w:t xml:space="preserve"> property tax paid by this type</w:t>
      </w:r>
      <w:r>
        <w:t xml:space="preserve"> of</w:t>
      </w:r>
      <w:r w:rsidR="007C1892">
        <w:t xml:space="preserve"> affordable housing development</w:t>
      </w:r>
      <w:r>
        <w:t>), pay-as-you-g</w:t>
      </w:r>
      <w:r w:rsidR="00BD6FCC">
        <w:t xml:space="preserve">o </w:t>
      </w:r>
      <w:r w:rsidR="00FE5B68">
        <w:t xml:space="preserve">projects </w:t>
      </w:r>
      <w:r w:rsidR="00BD6FCC">
        <w:t>(i.e. paid for by TIF cash-in-</w:t>
      </w:r>
      <w:r>
        <w:t xml:space="preserve">hand rather than using TIF to back municipal bonds) such as streets, curbs, sidewalks, trails, </w:t>
      </w:r>
      <w:r w:rsidR="00BD6FCC">
        <w:t>lighting</w:t>
      </w:r>
      <w:r w:rsidR="007C1892">
        <w:t>, etc.</w:t>
      </w:r>
      <w:r w:rsidR="00BD6FCC">
        <w:t xml:space="preserve"> </w:t>
      </w:r>
      <w:r>
        <w:t xml:space="preserve">not associated with a </w:t>
      </w:r>
      <w:r w:rsidR="00BD6FCC">
        <w:t xml:space="preserve">specific </w:t>
      </w:r>
      <w:r>
        <w:t xml:space="preserve">development project.  A prime example is the initial North Midtown TIF bond authorization which </w:t>
      </w:r>
      <w:r w:rsidR="00BD6FCC">
        <w:t>linked the</w:t>
      </w:r>
      <w:r>
        <w:t xml:space="preserve"> </w:t>
      </w:r>
      <w:r w:rsidR="00FE5B68">
        <w:t xml:space="preserve">TIF </w:t>
      </w:r>
      <w:r>
        <w:t xml:space="preserve">subsidy </w:t>
      </w:r>
      <w:r w:rsidR="00FF72B3">
        <w:t>allocated</w:t>
      </w:r>
      <w:r>
        <w:t xml:space="preserve"> to the Tarkington Park project to the </w:t>
      </w:r>
      <w:r w:rsidR="00FE5B68">
        <w:t xml:space="preserve">TIF </w:t>
      </w:r>
      <w:r>
        <w:t xml:space="preserve">subsidy </w:t>
      </w:r>
      <w:r w:rsidR="00FF72B3">
        <w:t>allocat</w:t>
      </w:r>
      <w:r>
        <w:t>ed to the Broad Ripple mixed-use apartment</w:t>
      </w:r>
      <w:r w:rsidR="00FE5B68">
        <w:t>/grocery</w:t>
      </w:r>
      <w:r>
        <w:t xml:space="preserve"> project.  In other words, some of the increment that will be generated by the strong-market project will be invested in that project itself, </w:t>
      </w:r>
      <w:r w:rsidR="00FE5B68">
        <w:t>and the rest</w:t>
      </w:r>
      <w:r>
        <w:t xml:space="preserve"> of the increment will be invested in Tarkington Park.</w:t>
      </w:r>
      <w:r w:rsidR="00BD6FCC">
        <w:t xml:space="preserve">  Although this is a “this for that” example, </w:t>
      </w:r>
      <w:r w:rsidR="007C1892">
        <w:t>it’</w:t>
      </w:r>
      <w:r w:rsidR="00B04314">
        <w:t xml:space="preserve">s not feasible to link all TIF-subsidized projects in this </w:t>
      </w:r>
      <w:r w:rsidR="007C1892">
        <w:t xml:space="preserve">manner </w:t>
      </w:r>
      <w:r w:rsidR="00B04314">
        <w:t>due to timing of development cycles and other scheduling factors.</w:t>
      </w:r>
    </w:p>
    <w:p w:rsidR="00E7796A" w:rsidRDefault="00E7796A" w:rsidP="00E7796A"/>
    <w:p w:rsidR="00E7796A" w:rsidRDefault="00E7796A" w:rsidP="00E7796A">
      <w:r>
        <w:t xml:space="preserve">As with all community economic development, subsidized development should strengthen the market and </w:t>
      </w:r>
      <w:r w:rsidR="00FF72B3">
        <w:t>spur additional, non-subsidized</w:t>
      </w:r>
      <w:r>
        <w:t xml:space="preserve"> beneficial private investment.  Not </w:t>
      </w:r>
      <w:r w:rsidR="007C1892">
        <w:t xml:space="preserve">every </w:t>
      </w:r>
      <w:r>
        <w:t>new development within the TIF district receives TIF subsidy, therefore the TIF is str</w:t>
      </w:r>
      <w:r w:rsidR="00017AF1">
        <w:t xml:space="preserve">engthened by all new commercial </w:t>
      </w:r>
      <w:r w:rsidR="00580A6A">
        <w:t>development.  For example, the “Chipotle building”</w:t>
      </w:r>
      <w:r>
        <w:t xml:space="preserve"> in Broad Ripple will generate increment </w:t>
      </w:r>
      <w:r w:rsidR="00FE5B68">
        <w:t>even though that project</w:t>
      </w:r>
      <w:r>
        <w:t xml:space="preserve"> did not receive TIF subsidy.  Note that property tax abatements, another common economic development tool, work to</w:t>
      </w:r>
      <w:r w:rsidR="00FE5B68">
        <w:t xml:space="preserve"> the detriment of TIF districts for obvious reasons.</w:t>
      </w:r>
    </w:p>
    <w:p w:rsidR="00E7796A" w:rsidRDefault="00E7796A" w:rsidP="00E7796A"/>
    <w:p w:rsidR="00E7796A" w:rsidRPr="00E7796A" w:rsidRDefault="00011F38" w:rsidP="00E7796A">
      <w:pPr>
        <w:rPr>
          <w:b/>
          <w:sz w:val="28"/>
        </w:rPr>
      </w:pPr>
      <w:r>
        <w:rPr>
          <w:b/>
          <w:sz w:val="28"/>
        </w:rPr>
        <w:t xml:space="preserve">The </w:t>
      </w:r>
      <w:r w:rsidR="00580A6A">
        <w:rPr>
          <w:b/>
          <w:sz w:val="28"/>
        </w:rPr>
        <w:t>TIF “glitch”</w:t>
      </w:r>
      <w:r>
        <w:rPr>
          <w:b/>
          <w:sz w:val="28"/>
        </w:rPr>
        <w:t xml:space="preserve"> and the TIF “fix”</w:t>
      </w:r>
    </w:p>
    <w:p w:rsidR="00E7796A" w:rsidRDefault="00E7796A" w:rsidP="00E7796A"/>
    <w:p w:rsidR="00E7796A" w:rsidRPr="00B04314" w:rsidRDefault="00E7796A" w:rsidP="00E7796A">
      <w:pPr>
        <w:rPr>
          <w:i/>
        </w:rPr>
      </w:pPr>
      <w:r w:rsidRPr="00B04314">
        <w:rPr>
          <w:i/>
        </w:rPr>
        <w:t xml:space="preserve">Addressing the TIF </w:t>
      </w:r>
      <w:r w:rsidR="00FF72B3">
        <w:rPr>
          <w:i/>
        </w:rPr>
        <w:t>calculation</w:t>
      </w:r>
      <w:r w:rsidRPr="00B04314">
        <w:rPr>
          <w:i/>
        </w:rPr>
        <w:t xml:space="preserve"> problem created by the </w:t>
      </w:r>
      <w:r w:rsidR="00FF72B3">
        <w:rPr>
          <w:i/>
        </w:rPr>
        <w:t xml:space="preserve">new </w:t>
      </w:r>
      <w:r w:rsidRPr="00B04314">
        <w:rPr>
          <w:i/>
        </w:rPr>
        <w:t>state DLGF policy interpretati</w:t>
      </w:r>
      <w:r w:rsidR="00580A6A">
        <w:rPr>
          <w:i/>
        </w:rPr>
        <w:t>on is important.  The proposed “</w:t>
      </w:r>
      <w:r w:rsidRPr="00B04314">
        <w:rPr>
          <w:i/>
        </w:rPr>
        <w:t>fix" is to remove the residential parcels from the TIF, a process that involves MDC and CCC approval.  Removing the resid</w:t>
      </w:r>
      <w:r w:rsidR="00580A6A">
        <w:rPr>
          <w:i/>
        </w:rPr>
        <w:t>ential effectively prevents AV “losses”</w:t>
      </w:r>
      <w:r w:rsidRPr="00B04314">
        <w:rPr>
          <w:i/>
        </w:rPr>
        <w:t xml:space="preserve"> attributed to the residential parcels (due to appeals, mortgage and other exemptions, failure to appreciate at the projected rate, etc.) from impacting the property tax increment that is generated.  According to DLGF policy, TIFs need to make up every annua</w:t>
      </w:r>
      <w:r w:rsidR="00580A6A">
        <w:rPr>
          <w:i/>
        </w:rPr>
        <w:t>l decrease from residential AV “losses”</w:t>
      </w:r>
      <w:r w:rsidRPr="00B04314">
        <w:rPr>
          <w:i/>
        </w:rPr>
        <w:t>, but have no capacity to reap any benefit from residential AV increases.  Thus, the fix essentially addresses the new DLGF policy interpretation, which is aimed at limiting the state's loss of property tax revenu</w:t>
      </w:r>
      <w:r w:rsidR="00580A6A">
        <w:rPr>
          <w:i/>
        </w:rPr>
        <w:t>e from municipalities that TIF “everything”</w:t>
      </w:r>
      <w:r w:rsidRPr="00B04314">
        <w:rPr>
          <w:i/>
        </w:rPr>
        <w:t xml:space="preserve"> in order to generate greater local revenue.</w:t>
      </w:r>
    </w:p>
    <w:p w:rsidR="00E7796A" w:rsidRDefault="00E7796A" w:rsidP="00E7796A"/>
    <w:p w:rsidR="00E7796A" w:rsidRDefault="00017AF1" w:rsidP="00E7796A">
      <w:r>
        <w:t xml:space="preserve">Per state TIF statute, only </w:t>
      </w:r>
      <w:r w:rsidR="00E7796A">
        <w:t>commercial properties (</w:t>
      </w:r>
      <w:r>
        <w:t xml:space="preserve">i.e. </w:t>
      </w:r>
      <w:r w:rsidR="00E7796A">
        <w:t>4+ unit multifamily, mixed-use, commercial) generate increment</w:t>
      </w:r>
      <w:r w:rsidR="00B04314">
        <w:t>,</w:t>
      </w:r>
      <w:r w:rsidR="00E7796A">
        <w:t xml:space="preserve"> and only commercial properties are eligible to receive TIF subsidy.  However, </w:t>
      </w:r>
      <w:r w:rsidR="00E7796A">
        <w:lastRenderedPageBreak/>
        <w:t xml:space="preserve">residential properties have traditionally been included within the boundaries of TIF districts </w:t>
      </w:r>
      <w:r w:rsidR="00E7796A" w:rsidRPr="00915B68">
        <w:rPr>
          <w:i/>
        </w:rPr>
        <w:t>if</w:t>
      </w:r>
      <w:r w:rsidR="00E7796A">
        <w:t xml:space="preserve"> there is a chance tha</w:t>
      </w:r>
      <w:r w:rsidR="00580A6A">
        <w:t xml:space="preserve">t those particular parcels may </w:t>
      </w:r>
      <w:r w:rsidR="00915B68">
        <w:t xml:space="preserve">convert </w:t>
      </w:r>
      <w:r w:rsidR="007C1892">
        <w:t>to commercial use</w:t>
      </w:r>
      <w:r w:rsidR="00E7796A">
        <w:t xml:space="preserve"> </w:t>
      </w:r>
      <w:r w:rsidR="00FF72B3">
        <w:t>and</w:t>
      </w:r>
      <w:r w:rsidR="00915B68">
        <w:t xml:space="preserve"> </w:t>
      </w:r>
      <w:r w:rsidR="00E7796A">
        <w:t xml:space="preserve">seek TIF subsidy.  A common </w:t>
      </w:r>
      <w:r w:rsidR="00915B68">
        <w:t>example</w:t>
      </w:r>
      <w:r w:rsidR="00E7796A">
        <w:t xml:space="preserve"> </w:t>
      </w:r>
      <w:r w:rsidR="000A509D">
        <w:t>are</w:t>
      </w:r>
      <w:r w:rsidR="00E7796A">
        <w:t xml:space="preserve"> residential properties adjacent to a</w:t>
      </w:r>
      <w:r w:rsidR="00915B68">
        <w:t>n existing</w:t>
      </w:r>
      <w:r w:rsidR="00E7796A">
        <w:t xml:space="preserve"> commercial node, such as the two bungalows just north of Ambrosia/</w:t>
      </w:r>
      <w:proofErr w:type="spellStart"/>
      <w:r w:rsidR="00E7796A">
        <w:t>Haus</w:t>
      </w:r>
      <w:proofErr w:type="spellEnd"/>
      <w:r w:rsidR="00E7796A">
        <w:t xml:space="preserve"> (formerly Fox Art Glass) on the NE corner of College</w:t>
      </w:r>
      <w:r w:rsidR="007C1892">
        <w:t xml:space="preserve"> and Kessler</w:t>
      </w:r>
      <w:r w:rsidR="00E7796A">
        <w:t>.</w:t>
      </w:r>
      <w:r w:rsidR="00915B68">
        <w:t xml:space="preserve">  </w:t>
      </w:r>
      <w:r w:rsidR="00FF72B3">
        <w:t xml:space="preserve">Were those residential properties included in the TIF, once they </w:t>
      </w:r>
      <w:r w:rsidR="00915B68">
        <w:t>were converted to commercial use</w:t>
      </w:r>
      <w:r w:rsidR="000A509D">
        <w:t>,</w:t>
      </w:r>
      <w:r w:rsidR="00915B68">
        <w:t xml:space="preserve"> they </w:t>
      </w:r>
      <w:r w:rsidR="000A509D">
        <w:t xml:space="preserve">would </w:t>
      </w:r>
      <w:r w:rsidR="00FF72B3">
        <w:t xml:space="preserve">begin </w:t>
      </w:r>
      <w:r w:rsidR="00915B68">
        <w:t>to generate increment</w:t>
      </w:r>
      <w:r w:rsidR="00FF72B3">
        <w:t xml:space="preserve">.  </w:t>
      </w:r>
      <w:r w:rsidR="00EF416C">
        <w:t>I</w:t>
      </w:r>
      <w:r w:rsidR="00E7796A">
        <w:t>ncluding</w:t>
      </w:r>
      <w:r w:rsidR="00915B68">
        <w:t xml:space="preserve"> residential parcels within TIF boundaries </w:t>
      </w:r>
      <w:r w:rsidR="00EF416C">
        <w:t xml:space="preserve">is </w:t>
      </w:r>
      <w:r w:rsidR="00E7796A">
        <w:t xml:space="preserve">logical given that TIF investment </w:t>
      </w:r>
      <w:r w:rsidR="00EF416C">
        <w:t xml:space="preserve">is </w:t>
      </w:r>
      <w:r w:rsidR="007C1892">
        <w:t>restricted</w:t>
      </w:r>
      <w:r w:rsidR="00E7796A">
        <w:t xml:space="preserve"> </w:t>
      </w:r>
      <w:r w:rsidR="00915B68">
        <w:t xml:space="preserve">to </w:t>
      </w:r>
      <w:r w:rsidR="00915B68" w:rsidRPr="007C1892">
        <w:rPr>
          <w:i/>
        </w:rPr>
        <w:t>only the parcels within</w:t>
      </w:r>
      <w:r w:rsidR="00EF416C">
        <w:rPr>
          <w:i/>
        </w:rPr>
        <w:t xml:space="preserve"> or physically connected to</w:t>
      </w:r>
      <w:r w:rsidR="00915B68" w:rsidRPr="007C1892">
        <w:rPr>
          <w:i/>
        </w:rPr>
        <w:t xml:space="preserve"> </w:t>
      </w:r>
      <w:r w:rsidR="00E7796A" w:rsidRPr="007C1892">
        <w:rPr>
          <w:i/>
        </w:rPr>
        <w:t>TIF d</w:t>
      </w:r>
      <w:r w:rsidR="00915B68" w:rsidRPr="007C1892">
        <w:rPr>
          <w:i/>
        </w:rPr>
        <w:t>istricts</w:t>
      </w:r>
      <w:r w:rsidR="00E7796A">
        <w:t>.</w:t>
      </w:r>
    </w:p>
    <w:p w:rsidR="00E7796A" w:rsidRDefault="00E7796A" w:rsidP="00E7796A"/>
    <w:p w:rsidR="00E7796A" w:rsidRDefault="000A509D" w:rsidP="00E7796A">
      <w:r>
        <w:t>Also i</w:t>
      </w:r>
      <w:r w:rsidR="00E7796A">
        <w:t>n the past, the DLGF has excluded residential properties from TIF calculations, allowing the property tax revenue generated by residential properties within TIF districts to simply pass through to the state/municipality/local units.  A recent DLGF policy change stipulates that although residential parcels generate no increment, the TIF district as a whole must make up losses attributed to residential AV decreases.  Additionally, rather than addressing residential AV changes in the aggregate (i.e. combining gains and</w:t>
      </w:r>
      <w:r w:rsidR="007C1892">
        <w:t xml:space="preserve"> losses to determine a </w:t>
      </w:r>
      <w:r w:rsidR="007C1892" w:rsidRPr="00EF416C">
        <w:rPr>
          <w:i/>
        </w:rPr>
        <w:t>net</w:t>
      </w:r>
      <w:r w:rsidR="007C1892">
        <w:t xml:space="preserve"> gain or </w:t>
      </w:r>
      <w:r w:rsidR="00E7796A">
        <w:t xml:space="preserve">loss), DLGF now addresses AV changes on a </w:t>
      </w:r>
      <w:r w:rsidR="00E7796A" w:rsidRPr="00EF416C">
        <w:rPr>
          <w:i/>
        </w:rPr>
        <w:t>per</w:t>
      </w:r>
      <w:r w:rsidR="00EF416C" w:rsidRPr="00EF416C">
        <w:rPr>
          <w:i/>
        </w:rPr>
        <w:t>-</w:t>
      </w:r>
      <w:r w:rsidR="00E7796A" w:rsidRPr="00EF416C">
        <w:rPr>
          <w:i/>
        </w:rPr>
        <w:t xml:space="preserve"> parcel</w:t>
      </w:r>
      <w:r w:rsidR="00E7796A">
        <w:t xml:space="preserve"> basis.  Since DLGF policy dictates that TIF districts need to make up </w:t>
      </w:r>
      <w:r w:rsidR="00915B68">
        <w:t xml:space="preserve">the lost property tax revenue </w:t>
      </w:r>
      <w:r w:rsidR="00580A6A">
        <w:t xml:space="preserve">from </w:t>
      </w:r>
      <w:r w:rsidR="00915B68">
        <w:t xml:space="preserve">each residential property that </w:t>
      </w:r>
      <w:r>
        <w:t>shows</w:t>
      </w:r>
      <w:r w:rsidR="00915B68">
        <w:t xml:space="preserve"> an AV decrease</w:t>
      </w:r>
      <w:r w:rsidR="00E7796A">
        <w:t xml:space="preserve">, </w:t>
      </w:r>
      <w:r w:rsidR="007C1892">
        <w:t>yet</w:t>
      </w:r>
      <w:r w:rsidR="00E7796A">
        <w:t xml:space="preserve"> </w:t>
      </w:r>
      <w:r w:rsidR="00EF416C">
        <w:t xml:space="preserve">statute </w:t>
      </w:r>
      <w:r w:rsidR="00915B68">
        <w:t xml:space="preserve">stipulates that TIF districts </w:t>
      </w:r>
      <w:r w:rsidR="00E7796A">
        <w:t xml:space="preserve">have no capacity to reap any benefit from </w:t>
      </w:r>
      <w:r w:rsidR="00580A6A">
        <w:t xml:space="preserve">residential AV increases, </w:t>
      </w:r>
      <w:r w:rsidR="007C1892">
        <w:t xml:space="preserve">every residential AV decrease </w:t>
      </w:r>
      <w:r w:rsidR="00580A6A">
        <w:t>“</w:t>
      </w:r>
      <w:r w:rsidR="00E7796A">
        <w:t>rob</w:t>
      </w:r>
      <w:r w:rsidR="00580A6A">
        <w:t>s”</w:t>
      </w:r>
      <w:r w:rsidR="00E7796A">
        <w:t xml:space="preserve"> the TIF of increment generated by rising commercial AV.  This </w:t>
      </w:r>
      <w:r w:rsidR="00EF416C">
        <w:t xml:space="preserve">policy </w:t>
      </w:r>
      <w:r w:rsidR="00E7796A">
        <w:t>in</w:t>
      </w:r>
      <w:r w:rsidR="00580A6A">
        <w:t xml:space="preserve">terpretation </w:t>
      </w:r>
      <w:r w:rsidR="00E7796A">
        <w:t>also seeks to discourage municipalities from establis</w:t>
      </w:r>
      <w:r w:rsidR="00017AF1">
        <w:t xml:space="preserve">hing </w:t>
      </w:r>
      <w:r w:rsidR="00EF416C">
        <w:t xml:space="preserve">overly broad </w:t>
      </w:r>
      <w:r w:rsidR="00017AF1">
        <w:t>TIF districts</w:t>
      </w:r>
      <w:r w:rsidR="00EF416C">
        <w:t xml:space="preserve"> since commercial parcels within TIF districts don’t generate property tax revenue for the state</w:t>
      </w:r>
      <w:r w:rsidR="00017AF1">
        <w:t>.</w:t>
      </w:r>
    </w:p>
    <w:p w:rsidR="00E7796A" w:rsidRDefault="00E7796A" w:rsidP="00E7796A"/>
    <w:p w:rsidR="006264FA" w:rsidRDefault="00580A6A" w:rsidP="00E7796A">
      <w:r>
        <w:t>The proposed “fix”</w:t>
      </w:r>
      <w:r w:rsidR="00E7796A">
        <w:t xml:space="preserve"> is to remove the residential parcels from the TIF, a process that involves MDC and CCC approval.  Removing </w:t>
      </w:r>
      <w:r w:rsidR="007C1892">
        <w:t xml:space="preserve">those properties </w:t>
      </w:r>
      <w:r w:rsidR="00E7796A">
        <w:t>effect</w:t>
      </w:r>
      <w:r>
        <w:t>ively prevents AV “losses”</w:t>
      </w:r>
      <w:r w:rsidR="00E7796A">
        <w:t xml:space="preserve"> attributed to the residential parcels (due to appeals, mortgage and other exemptions, failure to appreciate at the projected rate, etc.) from impacting the property tax increment that is generated</w:t>
      </w:r>
      <w:r w:rsidR="00017AF1">
        <w:t xml:space="preserve"> by commercial investment</w:t>
      </w:r>
      <w:r w:rsidR="00E7796A">
        <w:t>.</w:t>
      </w:r>
      <w:r w:rsidR="001653DC">
        <w:t xml:space="preserve">  City officials and the MEC have been working to </w:t>
      </w:r>
      <w:r w:rsidR="000A509D">
        <w:t xml:space="preserve">better </w:t>
      </w:r>
      <w:r w:rsidR="001653DC">
        <w:t xml:space="preserve">understand </w:t>
      </w:r>
      <w:r w:rsidR="00915B68">
        <w:t>and resolve this</w:t>
      </w:r>
      <w:r w:rsidR="001653DC">
        <w:t xml:space="preserve"> issue since April.</w:t>
      </w:r>
    </w:p>
    <w:p w:rsidR="00E7796A" w:rsidRDefault="00E7796A" w:rsidP="00E7796A"/>
    <w:p w:rsidR="001653DC" w:rsidRPr="00E7796A" w:rsidRDefault="001653DC" w:rsidP="001653DC">
      <w:pPr>
        <w:rPr>
          <w:b/>
          <w:sz w:val="28"/>
        </w:rPr>
      </w:pPr>
      <w:r>
        <w:rPr>
          <w:b/>
          <w:sz w:val="28"/>
        </w:rPr>
        <w:t xml:space="preserve">TIF </w:t>
      </w:r>
      <w:r w:rsidR="00011F38">
        <w:rPr>
          <w:b/>
          <w:sz w:val="28"/>
        </w:rPr>
        <w:t>issues affecting</w:t>
      </w:r>
      <w:r>
        <w:rPr>
          <w:b/>
          <w:sz w:val="28"/>
        </w:rPr>
        <w:t xml:space="preserve"> </w:t>
      </w:r>
      <w:r w:rsidR="00011F38">
        <w:rPr>
          <w:b/>
          <w:sz w:val="28"/>
        </w:rPr>
        <w:t xml:space="preserve">MFCDC </w:t>
      </w:r>
      <w:r>
        <w:rPr>
          <w:b/>
          <w:sz w:val="28"/>
        </w:rPr>
        <w:t>30</w:t>
      </w:r>
      <w:r w:rsidRPr="001653DC">
        <w:rPr>
          <w:b/>
          <w:sz w:val="28"/>
          <w:vertAlign w:val="superscript"/>
        </w:rPr>
        <w:t>th</w:t>
      </w:r>
      <w:r w:rsidR="00011F38">
        <w:rPr>
          <w:b/>
          <w:sz w:val="28"/>
        </w:rPr>
        <w:t xml:space="preserve"> &amp; Central project</w:t>
      </w:r>
    </w:p>
    <w:p w:rsidR="001653DC" w:rsidRDefault="001653DC" w:rsidP="00E7796A"/>
    <w:p w:rsidR="00C13790" w:rsidRDefault="00C13790" w:rsidP="00C13790">
      <w:pPr>
        <w:pStyle w:val="ListParagraph"/>
        <w:numPr>
          <w:ilvl w:val="0"/>
          <w:numId w:val="1"/>
        </w:numPr>
      </w:pPr>
      <w:r>
        <w:t>The B</w:t>
      </w:r>
      <w:r w:rsidR="006D5B2E">
        <w:t>road Ripple</w:t>
      </w:r>
      <w:r>
        <w:t xml:space="preserve">/Tarkington </w:t>
      </w:r>
      <w:r w:rsidR="006D5B2E">
        <w:t xml:space="preserve">Park </w:t>
      </w:r>
      <w:r>
        <w:t xml:space="preserve">projects </w:t>
      </w:r>
      <w:r w:rsidR="007C1892">
        <w:t xml:space="preserve">together </w:t>
      </w:r>
      <w:r>
        <w:t>will consume 100% of the increment generated by the B</w:t>
      </w:r>
      <w:r w:rsidR="006D5B2E">
        <w:t xml:space="preserve">road </w:t>
      </w:r>
      <w:r>
        <w:t>R</w:t>
      </w:r>
      <w:r w:rsidR="006D5B2E">
        <w:t>ipple</w:t>
      </w:r>
      <w:r>
        <w:t xml:space="preserve"> project</w:t>
      </w:r>
      <w:r w:rsidR="007C1892">
        <w:t>, by design.</w:t>
      </w:r>
    </w:p>
    <w:p w:rsidR="001653DC" w:rsidRDefault="001653DC" w:rsidP="00E7796A">
      <w:pPr>
        <w:pStyle w:val="ListParagraph"/>
        <w:numPr>
          <w:ilvl w:val="0"/>
          <w:numId w:val="1"/>
        </w:numPr>
      </w:pPr>
      <w:r>
        <w:t xml:space="preserve">New DLGF policy </w:t>
      </w:r>
      <w:r w:rsidR="00C13790">
        <w:t xml:space="preserve">implementation </w:t>
      </w:r>
      <w:r w:rsidR="00915B68">
        <w:t xml:space="preserve">regarding residential parcels </w:t>
      </w:r>
      <w:r w:rsidR="00C13790">
        <w:t xml:space="preserve">has </w:t>
      </w:r>
      <w:r>
        <w:t>d</w:t>
      </w:r>
      <w:r w:rsidR="00C13790">
        <w:t xml:space="preserve">epleted the </w:t>
      </w:r>
      <w:r>
        <w:t xml:space="preserve">minimal </w:t>
      </w:r>
      <w:r w:rsidR="00C13790">
        <w:t xml:space="preserve">additional </w:t>
      </w:r>
      <w:r>
        <w:t>increment</w:t>
      </w:r>
      <w:r w:rsidR="00C13790">
        <w:t xml:space="preserve"> generated by the “Chipotle building”</w:t>
      </w:r>
      <w:r w:rsidR="006D5B2E">
        <w:t xml:space="preserve"> and other </w:t>
      </w:r>
      <w:r w:rsidR="007C1892">
        <w:t xml:space="preserve">new </w:t>
      </w:r>
      <w:r w:rsidR="006D5B2E">
        <w:t xml:space="preserve">commercial development </w:t>
      </w:r>
      <w:r w:rsidR="007C1892">
        <w:t>with</w:t>
      </w:r>
      <w:r w:rsidR="006D5B2E">
        <w:t>in the nascent TIF.</w:t>
      </w:r>
    </w:p>
    <w:p w:rsidR="001653DC" w:rsidRDefault="001653DC" w:rsidP="00E7796A">
      <w:pPr>
        <w:pStyle w:val="ListParagraph"/>
        <w:numPr>
          <w:ilvl w:val="0"/>
          <w:numId w:val="1"/>
        </w:numPr>
      </w:pPr>
      <w:r>
        <w:t xml:space="preserve">Without the “fix”, the TIF is projected to generate increment </w:t>
      </w:r>
      <w:r w:rsidR="006D5B2E">
        <w:t xml:space="preserve">very slowly </w:t>
      </w:r>
      <w:r>
        <w:t>in the future</w:t>
      </w:r>
      <w:r w:rsidR="006D5B2E">
        <w:t>, if at all</w:t>
      </w:r>
      <w:r w:rsidR="00C13790">
        <w:t>.</w:t>
      </w:r>
    </w:p>
    <w:p w:rsidR="001653DC" w:rsidRDefault="00C13790" w:rsidP="00E7796A">
      <w:pPr>
        <w:pStyle w:val="ListParagraph"/>
        <w:numPr>
          <w:ilvl w:val="0"/>
          <w:numId w:val="1"/>
        </w:numPr>
      </w:pPr>
      <w:r>
        <w:t xml:space="preserve">Without projected TIF </w:t>
      </w:r>
      <w:r w:rsidR="001653DC">
        <w:t xml:space="preserve">increment, </w:t>
      </w:r>
      <w:r>
        <w:t xml:space="preserve">the City has no capacity to sell </w:t>
      </w:r>
      <w:r w:rsidR="006D5B2E">
        <w:t xml:space="preserve">TIF-backed </w:t>
      </w:r>
      <w:r>
        <w:t>bonds.</w:t>
      </w:r>
    </w:p>
    <w:p w:rsidR="00C13790" w:rsidRDefault="006D5B2E" w:rsidP="00E7796A">
      <w:pPr>
        <w:pStyle w:val="ListParagraph"/>
        <w:numPr>
          <w:ilvl w:val="0"/>
          <w:numId w:val="1"/>
        </w:numPr>
      </w:pPr>
      <w:r>
        <w:t>Without bonding capacity</w:t>
      </w:r>
      <w:r w:rsidR="00C13790">
        <w:t>, the City has no capacity to secure short-term</w:t>
      </w:r>
      <w:r w:rsidR="00915B68">
        <w:t>,</w:t>
      </w:r>
      <w:r w:rsidR="00C13790">
        <w:t xml:space="preserve"> </w:t>
      </w:r>
      <w:r>
        <w:t xml:space="preserve">bond-backed </w:t>
      </w:r>
      <w:r w:rsidR="00C13790">
        <w:t>financing</w:t>
      </w:r>
      <w:r>
        <w:t>.</w:t>
      </w:r>
    </w:p>
    <w:p w:rsidR="00B7117B" w:rsidRDefault="00B7117B" w:rsidP="00B7117B">
      <w:pPr>
        <w:pStyle w:val="ListParagraph"/>
        <w:numPr>
          <w:ilvl w:val="0"/>
          <w:numId w:val="1"/>
        </w:numPr>
      </w:pPr>
      <w:r>
        <w:t>Without the “fix”, developers without the ability to secure short-term financing (so-called “developer-backed bonds”) will not be able to utilize TIF subsidy until there is once again sufficient increment built up in the TIF.</w:t>
      </w:r>
    </w:p>
    <w:p w:rsidR="00C13790" w:rsidRDefault="00C13790" w:rsidP="00C13790">
      <w:pPr>
        <w:pStyle w:val="ListParagraph"/>
        <w:numPr>
          <w:ilvl w:val="0"/>
          <w:numId w:val="1"/>
        </w:numPr>
      </w:pPr>
      <w:r>
        <w:t xml:space="preserve">Potential TIF-subsidized projects that are ready to begin construction </w:t>
      </w:r>
      <w:r w:rsidR="006D5B2E">
        <w:t xml:space="preserve">now </w:t>
      </w:r>
      <w:r>
        <w:t xml:space="preserve">must secure their own short-term financing on the premise that the TIF will be fixed and proceeds from </w:t>
      </w:r>
      <w:r w:rsidR="006D5B2E">
        <w:t xml:space="preserve">eventual </w:t>
      </w:r>
      <w:r>
        <w:t xml:space="preserve">City </w:t>
      </w:r>
      <w:r w:rsidR="005533F5">
        <w:t xml:space="preserve">municipal </w:t>
      </w:r>
      <w:r>
        <w:t>bond sales</w:t>
      </w:r>
      <w:r w:rsidR="005533F5">
        <w:t>/bond anticipation notes</w:t>
      </w:r>
      <w:r>
        <w:t xml:space="preserve"> will pay off these </w:t>
      </w:r>
      <w:r w:rsidR="005533F5">
        <w:t xml:space="preserve">developer </w:t>
      </w:r>
      <w:r>
        <w:t>notes</w:t>
      </w:r>
      <w:r w:rsidR="006D5B2E">
        <w:t>.</w:t>
      </w:r>
    </w:p>
    <w:p w:rsidR="00D767E8" w:rsidRDefault="00D767E8" w:rsidP="003429A4"/>
    <w:p w:rsidR="00EF416C" w:rsidRDefault="00EF416C" w:rsidP="003429A4">
      <w:bookmarkStart w:id="0" w:name="_GoBack"/>
      <w:bookmarkEnd w:id="0"/>
    </w:p>
    <w:p w:rsidR="00D767E8" w:rsidRDefault="00D767E8" w:rsidP="00D767E8">
      <w:pPr>
        <w:rPr>
          <w:i/>
        </w:rPr>
      </w:pPr>
      <w:r>
        <w:rPr>
          <w:i/>
        </w:rPr>
        <w:t>9/2/2015 MFCDC</w:t>
      </w:r>
      <w:r w:rsidRPr="00D767E8">
        <w:rPr>
          <w:i/>
        </w:rPr>
        <w:t xml:space="preserve"> Economic Development Committee </w:t>
      </w:r>
      <w:r>
        <w:rPr>
          <w:i/>
        </w:rPr>
        <w:t>presentation</w:t>
      </w:r>
    </w:p>
    <w:p w:rsidR="00D767E8" w:rsidRPr="007C1892" w:rsidRDefault="00D767E8" w:rsidP="003429A4">
      <w:pPr>
        <w:rPr>
          <w:i/>
        </w:rPr>
      </w:pPr>
      <w:r w:rsidRPr="00D767E8">
        <w:rPr>
          <w:i/>
        </w:rPr>
        <w:t>Tyson Domer, MFCDC representative to the Midtown Economic Council</w:t>
      </w:r>
    </w:p>
    <w:sectPr w:rsidR="00D767E8" w:rsidRPr="007C189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5A" w:rsidRDefault="00F9235A" w:rsidP="00103782">
      <w:r>
        <w:separator/>
      </w:r>
    </w:p>
  </w:endnote>
  <w:endnote w:type="continuationSeparator" w:id="0">
    <w:p w:rsidR="00F9235A" w:rsidRDefault="00F9235A" w:rsidP="0010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05716925"/>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243463" w:rsidRPr="006264FA" w:rsidRDefault="00243463" w:rsidP="00243463">
            <w:pPr>
              <w:pStyle w:val="Footer"/>
              <w:jc w:val="center"/>
              <w:rPr>
                <w:sz w:val="20"/>
                <w:szCs w:val="20"/>
              </w:rPr>
            </w:pPr>
            <w:r w:rsidRPr="006264FA">
              <w:rPr>
                <w:sz w:val="20"/>
                <w:szCs w:val="20"/>
              </w:rPr>
              <w:t xml:space="preserve">Page </w:t>
            </w:r>
            <w:r w:rsidRPr="006264FA">
              <w:rPr>
                <w:bCs/>
                <w:sz w:val="20"/>
                <w:szCs w:val="20"/>
              </w:rPr>
              <w:fldChar w:fldCharType="begin"/>
            </w:r>
            <w:r w:rsidRPr="006264FA">
              <w:rPr>
                <w:bCs/>
                <w:sz w:val="20"/>
                <w:szCs w:val="20"/>
              </w:rPr>
              <w:instrText xml:space="preserve"> PAGE </w:instrText>
            </w:r>
            <w:r w:rsidRPr="006264FA">
              <w:rPr>
                <w:bCs/>
                <w:sz w:val="20"/>
                <w:szCs w:val="20"/>
              </w:rPr>
              <w:fldChar w:fldCharType="separate"/>
            </w:r>
            <w:r w:rsidR="00EF416C">
              <w:rPr>
                <w:bCs/>
                <w:noProof/>
                <w:sz w:val="20"/>
                <w:szCs w:val="20"/>
              </w:rPr>
              <w:t>1</w:t>
            </w:r>
            <w:r w:rsidRPr="006264FA">
              <w:rPr>
                <w:bCs/>
                <w:sz w:val="20"/>
                <w:szCs w:val="20"/>
              </w:rPr>
              <w:fldChar w:fldCharType="end"/>
            </w:r>
            <w:r w:rsidRPr="006264FA">
              <w:rPr>
                <w:sz w:val="20"/>
                <w:szCs w:val="20"/>
              </w:rPr>
              <w:t xml:space="preserve"> of </w:t>
            </w:r>
            <w:r w:rsidRPr="006264FA">
              <w:rPr>
                <w:bCs/>
                <w:sz w:val="20"/>
                <w:szCs w:val="20"/>
              </w:rPr>
              <w:fldChar w:fldCharType="begin"/>
            </w:r>
            <w:r w:rsidRPr="006264FA">
              <w:rPr>
                <w:bCs/>
                <w:sz w:val="20"/>
                <w:szCs w:val="20"/>
              </w:rPr>
              <w:instrText xml:space="preserve"> NUMPAGES  </w:instrText>
            </w:r>
            <w:r w:rsidRPr="006264FA">
              <w:rPr>
                <w:bCs/>
                <w:sz w:val="20"/>
                <w:szCs w:val="20"/>
              </w:rPr>
              <w:fldChar w:fldCharType="separate"/>
            </w:r>
            <w:r w:rsidR="00EF416C">
              <w:rPr>
                <w:bCs/>
                <w:noProof/>
                <w:sz w:val="20"/>
                <w:szCs w:val="20"/>
              </w:rPr>
              <w:t>4</w:t>
            </w:r>
            <w:r w:rsidRPr="006264FA">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5A" w:rsidRDefault="00F9235A" w:rsidP="00103782">
      <w:r>
        <w:separator/>
      </w:r>
    </w:p>
  </w:footnote>
  <w:footnote w:type="continuationSeparator" w:id="0">
    <w:p w:rsidR="00F9235A" w:rsidRDefault="00F9235A" w:rsidP="00103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82" w:rsidRPr="00243463" w:rsidRDefault="00E7796A" w:rsidP="00E7796A">
    <w:pPr>
      <w:pStyle w:val="Header"/>
      <w:jc w:val="center"/>
      <w:rPr>
        <w:b/>
        <w:sz w:val="32"/>
      </w:rPr>
    </w:pPr>
    <w:r>
      <w:rPr>
        <w:b/>
        <w:sz w:val="32"/>
      </w:rPr>
      <w:t xml:space="preserve">North Midtown EDA/TIF </w:t>
    </w:r>
    <w:r w:rsidR="00767E56">
      <w:rPr>
        <w:b/>
        <w:sz w:val="32"/>
      </w:rPr>
      <w:t xml:space="preserve">Summary </w:t>
    </w:r>
    <w:r>
      <w:rPr>
        <w:b/>
        <w:sz w:val="32"/>
      </w:rPr>
      <w:t xml:space="preserve">Explanation &amp; </w:t>
    </w:r>
    <w:r w:rsidR="00011F38">
      <w:rPr>
        <w:b/>
        <w:sz w:val="32"/>
      </w:rPr>
      <w:t>Current</w:t>
    </w:r>
    <w:r w:rsidR="00767E56">
      <w:rPr>
        <w:b/>
        <w:sz w:val="32"/>
      </w:rPr>
      <w:t xml:space="preserve"> </w:t>
    </w:r>
    <w:r>
      <w:rPr>
        <w:b/>
        <w:sz w:val="32"/>
      </w:rPr>
      <w:t>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77B"/>
    <w:multiLevelType w:val="hybridMultilevel"/>
    <w:tmpl w:val="4C2CAB62"/>
    <w:lvl w:ilvl="0" w:tplc="4A1471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6A"/>
    <w:rsid w:val="00011F38"/>
    <w:rsid w:val="00017AF1"/>
    <w:rsid w:val="00080240"/>
    <w:rsid w:val="000A509D"/>
    <w:rsid w:val="00103782"/>
    <w:rsid w:val="00136078"/>
    <w:rsid w:val="001653DC"/>
    <w:rsid w:val="00243463"/>
    <w:rsid w:val="002539DE"/>
    <w:rsid w:val="00273153"/>
    <w:rsid w:val="00284F39"/>
    <w:rsid w:val="003429A4"/>
    <w:rsid w:val="004871BB"/>
    <w:rsid w:val="005533F5"/>
    <w:rsid w:val="00580A6A"/>
    <w:rsid w:val="006264FA"/>
    <w:rsid w:val="0065052B"/>
    <w:rsid w:val="006750EC"/>
    <w:rsid w:val="006D47E0"/>
    <w:rsid w:val="006D5B2E"/>
    <w:rsid w:val="006E2624"/>
    <w:rsid w:val="00726A9E"/>
    <w:rsid w:val="00767E56"/>
    <w:rsid w:val="00794C8A"/>
    <w:rsid w:val="007C1892"/>
    <w:rsid w:val="00805F81"/>
    <w:rsid w:val="00807B24"/>
    <w:rsid w:val="00833A5C"/>
    <w:rsid w:val="00834792"/>
    <w:rsid w:val="008D0EE4"/>
    <w:rsid w:val="00915B68"/>
    <w:rsid w:val="0097004B"/>
    <w:rsid w:val="00990305"/>
    <w:rsid w:val="009C4209"/>
    <w:rsid w:val="00A14A24"/>
    <w:rsid w:val="00AA4DAD"/>
    <w:rsid w:val="00B00237"/>
    <w:rsid w:val="00B04314"/>
    <w:rsid w:val="00B7117B"/>
    <w:rsid w:val="00BD6FCC"/>
    <w:rsid w:val="00C11615"/>
    <w:rsid w:val="00C13790"/>
    <w:rsid w:val="00D767E8"/>
    <w:rsid w:val="00D95E59"/>
    <w:rsid w:val="00E234A7"/>
    <w:rsid w:val="00E762E8"/>
    <w:rsid w:val="00E7796A"/>
    <w:rsid w:val="00EF416C"/>
    <w:rsid w:val="00F516B6"/>
    <w:rsid w:val="00F9235A"/>
    <w:rsid w:val="00FE5B68"/>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A24"/>
  </w:style>
  <w:style w:type="character" w:styleId="Hyperlink">
    <w:name w:val="Hyperlink"/>
    <w:basedOn w:val="DefaultParagraphFont"/>
    <w:uiPriority w:val="99"/>
    <w:unhideWhenUsed/>
    <w:rsid w:val="00805F81"/>
    <w:rPr>
      <w:color w:val="0000FF" w:themeColor="hyperlink"/>
      <w:u w:val="single"/>
    </w:rPr>
  </w:style>
  <w:style w:type="paragraph" w:styleId="PlainText">
    <w:name w:val="Plain Text"/>
    <w:basedOn w:val="Normal"/>
    <w:link w:val="PlainTextChar"/>
    <w:uiPriority w:val="99"/>
    <w:semiHidden/>
    <w:unhideWhenUsed/>
    <w:rsid w:val="00805F81"/>
    <w:rPr>
      <w:rFonts w:ascii="Calibri" w:hAnsi="Calibri"/>
      <w:szCs w:val="21"/>
    </w:rPr>
  </w:style>
  <w:style w:type="character" w:customStyle="1" w:styleId="PlainTextChar">
    <w:name w:val="Plain Text Char"/>
    <w:basedOn w:val="DefaultParagraphFont"/>
    <w:link w:val="PlainText"/>
    <w:uiPriority w:val="99"/>
    <w:semiHidden/>
    <w:rsid w:val="00805F81"/>
    <w:rPr>
      <w:rFonts w:ascii="Calibri" w:hAnsi="Calibri"/>
      <w:szCs w:val="21"/>
    </w:rPr>
  </w:style>
  <w:style w:type="paragraph" w:styleId="Header">
    <w:name w:val="header"/>
    <w:basedOn w:val="Normal"/>
    <w:link w:val="HeaderChar"/>
    <w:uiPriority w:val="99"/>
    <w:unhideWhenUsed/>
    <w:rsid w:val="00103782"/>
    <w:pPr>
      <w:tabs>
        <w:tab w:val="center" w:pos="4680"/>
        <w:tab w:val="right" w:pos="9360"/>
      </w:tabs>
    </w:pPr>
  </w:style>
  <w:style w:type="character" w:customStyle="1" w:styleId="HeaderChar">
    <w:name w:val="Header Char"/>
    <w:basedOn w:val="DefaultParagraphFont"/>
    <w:link w:val="Header"/>
    <w:uiPriority w:val="99"/>
    <w:rsid w:val="00103782"/>
  </w:style>
  <w:style w:type="paragraph" w:styleId="Footer">
    <w:name w:val="footer"/>
    <w:basedOn w:val="Normal"/>
    <w:link w:val="FooterChar"/>
    <w:uiPriority w:val="99"/>
    <w:unhideWhenUsed/>
    <w:rsid w:val="00103782"/>
    <w:pPr>
      <w:tabs>
        <w:tab w:val="center" w:pos="4680"/>
        <w:tab w:val="right" w:pos="9360"/>
      </w:tabs>
    </w:pPr>
  </w:style>
  <w:style w:type="character" w:customStyle="1" w:styleId="FooterChar">
    <w:name w:val="Footer Char"/>
    <w:basedOn w:val="DefaultParagraphFont"/>
    <w:link w:val="Footer"/>
    <w:uiPriority w:val="99"/>
    <w:rsid w:val="00103782"/>
  </w:style>
  <w:style w:type="paragraph" w:styleId="ListParagraph">
    <w:name w:val="List Paragraph"/>
    <w:basedOn w:val="Normal"/>
    <w:uiPriority w:val="34"/>
    <w:qFormat/>
    <w:rsid w:val="00E77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A24"/>
  </w:style>
  <w:style w:type="character" w:styleId="Hyperlink">
    <w:name w:val="Hyperlink"/>
    <w:basedOn w:val="DefaultParagraphFont"/>
    <w:uiPriority w:val="99"/>
    <w:unhideWhenUsed/>
    <w:rsid w:val="00805F81"/>
    <w:rPr>
      <w:color w:val="0000FF" w:themeColor="hyperlink"/>
      <w:u w:val="single"/>
    </w:rPr>
  </w:style>
  <w:style w:type="paragraph" w:styleId="PlainText">
    <w:name w:val="Plain Text"/>
    <w:basedOn w:val="Normal"/>
    <w:link w:val="PlainTextChar"/>
    <w:uiPriority w:val="99"/>
    <w:semiHidden/>
    <w:unhideWhenUsed/>
    <w:rsid w:val="00805F81"/>
    <w:rPr>
      <w:rFonts w:ascii="Calibri" w:hAnsi="Calibri"/>
      <w:szCs w:val="21"/>
    </w:rPr>
  </w:style>
  <w:style w:type="character" w:customStyle="1" w:styleId="PlainTextChar">
    <w:name w:val="Plain Text Char"/>
    <w:basedOn w:val="DefaultParagraphFont"/>
    <w:link w:val="PlainText"/>
    <w:uiPriority w:val="99"/>
    <w:semiHidden/>
    <w:rsid w:val="00805F81"/>
    <w:rPr>
      <w:rFonts w:ascii="Calibri" w:hAnsi="Calibri"/>
      <w:szCs w:val="21"/>
    </w:rPr>
  </w:style>
  <w:style w:type="paragraph" w:styleId="Header">
    <w:name w:val="header"/>
    <w:basedOn w:val="Normal"/>
    <w:link w:val="HeaderChar"/>
    <w:uiPriority w:val="99"/>
    <w:unhideWhenUsed/>
    <w:rsid w:val="00103782"/>
    <w:pPr>
      <w:tabs>
        <w:tab w:val="center" w:pos="4680"/>
        <w:tab w:val="right" w:pos="9360"/>
      </w:tabs>
    </w:pPr>
  </w:style>
  <w:style w:type="character" w:customStyle="1" w:styleId="HeaderChar">
    <w:name w:val="Header Char"/>
    <w:basedOn w:val="DefaultParagraphFont"/>
    <w:link w:val="Header"/>
    <w:uiPriority w:val="99"/>
    <w:rsid w:val="00103782"/>
  </w:style>
  <w:style w:type="paragraph" w:styleId="Footer">
    <w:name w:val="footer"/>
    <w:basedOn w:val="Normal"/>
    <w:link w:val="FooterChar"/>
    <w:uiPriority w:val="99"/>
    <w:unhideWhenUsed/>
    <w:rsid w:val="00103782"/>
    <w:pPr>
      <w:tabs>
        <w:tab w:val="center" w:pos="4680"/>
        <w:tab w:val="right" w:pos="9360"/>
      </w:tabs>
    </w:pPr>
  </w:style>
  <w:style w:type="character" w:customStyle="1" w:styleId="FooterChar">
    <w:name w:val="Footer Char"/>
    <w:basedOn w:val="DefaultParagraphFont"/>
    <w:link w:val="Footer"/>
    <w:uiPriority w:val="99"/>
    <w:rsid w:val="00103782"/>
  </w:style>
  <w:style w:type="paragraph" w:styleId="ListParagraph">
    <w:name w:val="List Paragraph"/>
    <w:basedOn w:val="Normal"/>
    <w:uiPriority w:val="34"/>
    <w:qFormat/>
    <w:rsid w:val="00E77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96073">
      <w:bodyDiv w:val="1"/>
      <w:marLeft w:val="0"/>
      <w:marRight w:val="0"/>
      <w:marTop w:val="0"/>
      <w:marBottom w:val="0"/>
      <w:divBdr>
        <w:top w:val="none" w:sz="0" w:space="0" w:color="auto"/>
        <w:left w:val="none" w:sz="0" w:space="0" w:color="auto"/>
        <w:bottom w:val="none" w:sz="0" w:space="0" w:color="auto"/>
        <w:right w:val="none" w:sz="0" w:space="0" w:color="auto"/>
      </w:divBdr>
    </w:div>
    <w:div w:id="1257326753">
      <w:bodyDiv w:val="1"/>
      <w:marLeft w:val="0"/>
      <w:marRight w:val="0"/>
      <w:marTop w:val="0"/>
      <w:marBottom w:val="0"/>
      <w:divBdr>
        <w:top w:val="none" w:sz="0" w:space="0" w:color="auto"/>
        <w:left w:val="none" w:sz="0" w:space="0" w:color="auto"/>
        <w:bottom w:val="none" w:sz="0" w:space="0" w:color="auto"/>
        <w:right w:val="none" w:sz="0" w:space="0" w:color="auto"/>
      </w:divBdr>
    </w:div>
    <w:div w:id="13070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townindy.org/TIF-distri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dtownindy.org/MidtownEconomicCounc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2015-09-02 MFCDC ED Committee -  North Midtown EDA-TIF Summary Explanation &amp; Current Issues</vt:lpstr>
    </vt:vector>
  </TitlesOfParts>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2015-09-02 MFCDC ED Committee -  North Midtown EDA-TIF Summary Explanation &amp; Current Issues</dc:title>
  <dc:creator>Tyson Domer</dc:creator>
  <cp:lastModifiedBy>Tyson Domer</cp:lastModifiedBy>
  <cp:revision>18</cp:revision>
  <dcterms:created xsi:type="dcterms:W3CDTF">2015-09-03T21:08:00Z</dcterms:created>
  <dcterms:modified xsi:type="dcterms:W3CDTF">2015-09-15T15:06:00Z</dcterms:modified>
</cp:coreProperties>
</file>